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948CD" w14:textId="3B6ADB6A" w:rsidR="00D1443D" w:rsidRPr="00BE5575" w:rsidRDefault="00D1443D" w:rsidP="00D1443D">
      <w:pPr>
        <w:widowControl w:val="0"/>
        <w:tabs>
          <w:tab w:val="left" w:pos="6521"/>
        </w:tabs>
        <w:spacing w:after="60" w:line="240" w:lineRule="auto"/>
        <w:rPr>
          <w:rFonts w:ascii="Arial" w:eastAsia="MS Gothic" w:hAnsi="Arial" w:cs="Arial"/>
          <w:b/>
          <w:bCs/>
          <w:sz w:val="24"/>
          <w:szCs w:val="24"/>
          <w:lang w:eastAsia="ja-JP"/>
        </w:rPr>
      </w:pPr>
      <w:bookmarkStart w:id="0" w:name="_Hlk91681971"/>
      <w:bookmarkStart w:id="1" w:name="_Hlk131593396"/>
      <w:bookmarkStart w:id="2" w:name="_Hlk145277948"/>
      <w:r w:rsidRPr="00BE5575">
        <w:rPr>
          <w:rFonts w:ascii="Arial" w:eastAsia="MS Gothic" w:hAnsi="Arial" w:cs="Arial"/>
          <w:b/>
          <w:bCs/>
          <w:sz w:val="24"/>
          <w:szCs w:val="24"/>
          <w:lang w:eastAsia="ja-JP"/>
        </w:rPr>
        <w:t>3GPP TSG RAN WG1 #</w:t>
      </w:r>
      <w:r w:rsidR="008F2C4B" w:rsidRPr="00BE5575">
        <w:rPr>
          <w:rFonts w:ascii="Arial" w:eastAsia="MS Gothic" w:hAnsi="Arial" w:cs="Arial"/>
          <w:b/>
          <w:bCs/>
          <w:sz w:val="24"/>
          <w:szCs w:val="24"/>
          <w:lang w:eastAsia="ja-JP"/>
        </w:rPr>
        <w:t>12</w:t>
      </w:r>
      <w:r w:rsidR="00D75F4A">
        <w:rPr>
          <w:rFonts w:ascii="Arial" w:eastAsia="MS Gothic" w:hAnsi="Arial" w:cs="Arial"/>
          <w:b/>
          <w:bCs/>
          <w:sz w:val="24"/>
          <w:szCs w:val="24"/>
          <w:lang w:eastAsia="ja-JP"/>
        </w:rPr>
        <w:t>4</w:t>
      </w:r>
      <w:r w:rsidR="008F2C4B" w:rsidRPr="00BE5575">
        <w:rPr>
          <w:rFonts w:ascii="Arial" w:eastAsia="MS Gothic" w:hAnsi="Arial" w:cs="Arial"/>
          <w:b/>
          <w:bCs/>
          <w:sz w:val="24"/>
          <w:szCs w:val="24"/>
          <w:lang w:eastAsia="ja-JP"/>
        </w:rPr>
        <w:t xml:space="preserve">    </w:t>
      </w:r>
      <w:r w:rsidRPr="00BE5575">
        <w:rPr>
          <w:rFonts w:ascii="Arial" w:eastAsia="MS Gothic" w:hAnsi="Arial" w:cs="Arial"/>
          <w:b/>
          <w:bCs/>
          <w:sz w:val="24"/>
          <w:szCs w:val="24"/>
          <w:lang w:eastAsia="ja-JP"/>
        </w:rPr>
        <w:tab/>
      </w:r>
      <w:r w:rsidRPr="00BE5575">
        <w:rPr>
          <w:rFonts w:ascii="Arial" w:eastAsia="MS Gothic" w:hAnsi="Arial" w:cs="Arial"/>
          <w:b/>
          <w:bCs/>
          <w:sz w:val="24"/>
          <w:szCs w:val="24"/>
          <w:lang w:eastAsia="ja-JP"/>
        </w:rPr>
        <w:tab/>
        <w:t xml:space="preserve">                          R1-</w:t>
      </w:r>
      <w:r w:rsidR="008F2C4B" w:rsidRPr="00BE5575">
        <w:rPr>
          <w:rFonts w:ascii="Arial" w:eastAsia="MS Gothic" w:hAnsi="Arial" w:cs="Arial"/>
          <w:b/>
          <w:bCs/>
          <w:sz w:val="24"/>
          <w:szCs w:val="24"/>
          <w:lang w:eastAsia="ja-JP"/>
        </w:rPr>
        <w:t>2</w:t>
      </w:r>
      <w:r w:rsidR="00D75F4A">
        <w:rPr>
          <w:rFonts w:ascii="Arial" w:eastAsia="MS Gothic" w:hAnsi="Arial" w:cs="Arial"/>
          <w:b/>
          <w:bCs/>
          <w:sz w:val="24"/>
          <w:szCs w:val="24"/>
          <w:lang w:eastAsia="ja-JP"/>
        </w:rPr>
        <w:t>6</w:t>
      </w:r>
      <w:r w:rsidR="008F2C4B" w:rsidRPr="00BE5575">
        <w:rPr>
          <w:rFonts w:ascii="Arial" w:eastAsia="MS Gothic" w:hAnsi="Arial" w:cs="Arial"/>
          <w:b/>
          <w:bCs/>
          <w:sz w:val="24"/>
          <w:szCs w:val="24"/>
          <w:lang w:eastAsia="ja-JP"/>
        </w:rPr>
        <w:t>0</w:t>
      </w:r>
      <w:r w:rsidR="00DE3D3C">
        <w:rPr>
          <w:rFonts w:ascii="Arial" w:eastAsia="MS Gothic" w:hAnsi="Arial" w:cs="Arial"/>
          <w:b/>
          <w:bCs/>
          <w:sz w:val="24"/>
          <w:szCs w:val="24"/>
          <w:lang w:eastAsia="ja-JP"/>
        </w:rPr>
        <w:t>0732</w:t>
      </w:r>
    </w:p>
    <w:bookmarkEnd w:id="0"/>
    <w:p w14:paraId="618580E0" w14:textId="62E8200A" w:rsidR="00BE5575" w:rsidRPr="00D75F4A" w:rsidRDefault="00D75F4A" w:rsidP="00BE5575">
      <w:pPr>
        <w:tabs>
          <w:tab w:val="center" w:pos="4536"/>
          <w:tab w:val="right" w:pos="9072"/>
        </w:tabs>
        <w:rPr>
          <w:rFonts w:ascii="Arial" w:hAnsi="Arial" w:cs="Arial"/>
          <w:b/>
          <w:bCs/>
          <w:sz w:val="24"/>
          <w:szCs w:val="24"/>
        </w:rPr>
      </w:pPr>
      <w:r w:rsidRPr="00D75F4A">
        <w:rPr>
          <w:rFonts w:ascii="Arial" w:hAnsi="Arial" w:cs="Arial"/>
          <w:b/>
          <w:bCs/>
          <w:sz w:val="24"/>
          <w:szCs w:val="24"/>
        </w:rPr>
        <w:t>Gothenburg, SE</w:t>
      </w:r>
      <w:r w:rsidRPr="00D75F4A">
        <w:rPr>
          <w:rFonts w:ascii="Arial" w:eastAsia="DengXian" w:hAnsi="Arial" w:cs="Arial" w:hint="eastAsia"/>
          <w:b/>
          <w:bCs/>
          <w:sz w:val="24"/>
          <w:szCs w:val="24"/>
          <w:lang w:eastAsia="zh-CN"/>
        </w:rPr>
        <w:t>,</w:t>
      </w:r>
      <w:r w:rsidRPr="00D75F4A">
        <w:rPr>
          <w:rFonts w:ascii="Arial" w:hAnsi="Arial" w:cs="Arial"/>
          <w:b/>
          <w:bCs/>
          <w:sz w:val="24"/>
          <w:szCs w:val="24"/>
        </w:rPr>
        <w:t xml:space="preserve"> Feb. 9</w:t>
      </w:r>
      <w:r w:rsidRPr="00D75F4A">
        <w:rPr>
          <w:rFonts w:ascii="Arial" w:hAnsi="Arial" w:cs="Arial"/>
          <w:b/>
          <w:bCs/>
          <w:sz w:val="24"/>
          <w:szCs w:val="24"/>
          <w:vertAlign w:val="superscript"/>
        </w:rPr>
        <w:t>th</w:t>
      </w:r>
      <w:r w:rsidRPr="00D75F4A">
        <w:rPr>
          <w:rFonts w:ascii="Arial" w:hAnsi="Arial" w:cs="Arial"/>
          <w:b/>
          <w:bCs/>
          <w:sz w:val="24"/>
          <w:szCs w:val="24"/>
        </w:rPr>
        <w:t xml:space="preserve"> ~ 13</w:t>
      </w:r>
      <w:r w:rsidRPr="00D75F4A">
        <w:rPr>
          <w:rFonts w:ascii="Arial" w:hAnsi="Arial" w:cs="Arial"/>
          <w:b/>
          <w:bCs/>
          <w:sz w:val="24"/>
          <w:szCs w:val="24"/>
          <w:vertAlign w:val="superscript"/>
        </w:rPr>
        <w:t>th</w:t>
      </w:r>
      <w:r w:rsidRPr="00D75F4A">
        <w:rPr>
          <w:rFonts w:ascii="Arial" w:hAnsi="Arial" w:cs="Arial"/>
          <w:b/>
          <w:bCs/>
          <w:sz w:val="24"/>
          <w:szCs w:val="24"/>
        </w:rPr>
        <w:t>, 202</w:t>
      </w:r>
      <w:r w:rsidRPr="00D75F4A">
        <w:rPr>
          <w:rFonts w:ascii="Arial" w:eastAsia="DengXian" w:hAnsi="Arial" w:cs="Arial" w:hint="eastAsia"/>
          <w:b/>
          <w:bCs/>
          <w:sz w:val="24"/>
          <w:szCs w:val="24"/>
          <w:lang w:eastAsia="zh-CN"/>
        </w:rPr>
        <w:t>6</w:t>
      </w:r>
      <w:r w:rsidRPr="00D75F4A">
        <w:rPr>
          <w:rFonts w:ascii="Arial" w:eastAsia="DengXian" w:hAnsi="Arial" w:cs="Arial"/>
          <w:b/>
          <w:bCs/>
          <w:sz w:val="24"/>
          <w:szCs w:val="24"/>
          <w:lang w:eastAsia="zh-CN"/>
        </w:rPr>
        <w:t xml:space="preserve"> </w:t>
      </w:r>
    </w:p>
    <w:p w14:paraId="0345B5CB" w14:textId="77777777" w:rsidR="00D1443D" w:rsidRPr="00BE5575" w:rsidRDefault="00D1443D" w:rsidP="00F44C59">
      <w:pPr>
        <w:tabs>
          <w:tab w:val="left" w:pos="1500"/>
        </w:tabs>
        <w:overflowPunct w:val="0"/>
        <w:autoSpaceDE w:val="0"/>
        <w:autoSpaceDN w:val="0"/>
        <w:adjustRightInd w:val="0"/>
        <w:spacing w:after="60" w:line="240" w:lineRule="auto"/>
        <w:jc w:val="both"/>
        <w:textAlignment w:val="baseline"/>
        <w:rPr>
          <w:rFonts w:ascii="Arial" w:eastAsia="MS Gothic" w:hAnsi="Arial"/>
          <w:b/>
          <w:sz w:val="24"/>
          <w:szCs w:val="24"/>
          <w:lang w:eastAsia="ja-JP"/>
        </w:rPr>
      </w:pPr>
    </w:p>
    <w:p w14:paraId="66297322" w14:textId="647661DB"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5164FC">
        <w:rPr>
          <w:rFonts w:ascii="Arial" w:eastAsia="맑은 고딕" w:hAnsi="Arial"/>
          <w:sz w:val="24"/>
          <w:szCs w:val="24"/>
          <w:lang w:eastAsia="ko-KR"/>
        </w:rPr>
        <w:t>8</w:t>
      </w:r>
      <w:r w:rsidR="00C010B9">
        <w:rPr>
          <w:rFonts w:ascii="Arial" w:eastAsia="맑은 고딕" w:hAnsi="Arial"/>
          <w:sz w:val="24"/>
          <w:szCs w:val="24"/>
          <w:lang w:eastAsia="ko-KR"/>
        </w:rPr>
        <w:t>.</w:t>
      </w:r>
      <w:r w:rsidR="00ED4DC7">
        <w:rPr>
          <w:rFonts w:ascii="Arial" w:eastAsia="맑은 고딕" w:hAnsi="Arial"/>
          <w:sz w:val="24"/>
          <w:szCs w:val="24"/>
          <w:lang w:eastAsia="ko-KR"/>
        </w:rPr>
        <w:t>7</w:t>
      </w:r>
      <w:r w:rsidR="00F752E9">
        <w:rPr>
          <w:rFonts w:ascii="Arial" w:eastAsia="맑은 고딕" w:hAnsi="Arial"/>
          <w:sz w:val="24"/>
          <w:szCs w:val="24"/>
          <w:lang w:eastAsia="ko-KR"/>
        </w:rPr>
        <w:t>.</w:t>
      </w:r>
      <w:r w:rsidR="009F6670">
        <w:rPr>
          <w:rFonts w:ascii="Arial" w:eastAsia="맑은 고딕" w:hAnsi="Arial"/>
          <w:sz w:val="24"/>
          <w:szCs w:val="24"/>
          <w:lang w:eastAsia="ko-KR"/>
        </w:rPr>
        <w:t>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16212FF3"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4E3A5F" w:rsidRPr="004E3A5F">
        <w:rPr>
          <w:rFonts w:ascii="Arial" w:eastAsia="맑은 고딕" w:hAnsi="Arial" w:cs="Arial"/>
          <w:sz w:val="24"/>
          <w:lang w:eastAsia="ko-KR"/>
        </w:rPr>
        <w:t xml:space="preserve">Maintenance for Rel-19 </w:t>
      </w:r>
      <w:r w:rsidR="00D234C4">
        <w:rPr>
          <w:rFonts w:ascii="Arial" w:eastAsia="맑은 고딕" w:hAnsi="Arial" w:cs="Arial"/>
          <w:sz w:val="24"/>
          <w:lang w:eastAsia="ko-KR"/>
        </w:rPr>
        <w:t>IoT</w:t>
      </w:r>
      <w:r w:rsidR="004E3A5F" w:rsidRPr="004E3A5F">
        <w:rPr>
          <w:rFonts w:ascii="Arial" w:eastAsia="맑은 고딕" w:hAnsi="Arial" w:cs="Arial"/>
          <w:sz w:val="24"/>
          <w:lang w:eastAsia="ko-KR"/>
        </w:rPr>
        <w:t xml:space="preserve"> 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SimSun" w:cs="Arial"/>
          <w:kern w:val="28"/>
          <w:sz w:val="32"/>
          <w:szCs w:val="18"/>
          <w:lang w:eastAsia="zh-CN"/>
        </w:rPr>
      </w:pPr>
      <w:r>
        <w:rPr>
          <w:rFonts w:eastAsia="SimSun" w:cs="Arial"/>
          <w:kern w:val="28"/>
          <w:sz w:val="32"/>
          <w:szCs w:val="18"/>
          <w:lang w:eastAsia="zh-CN"/>
        </w:rPr>
        <w:t>Introduction</w:t>
      </w:r>
    </w:p>
    <w:p w14:paraId="6C580214" w14:textId="27FDAACD" w:rsidR="00291B04" w:rsidRDefault="00FE6651" w:rsidP="006C3D4A">
      <w:pPr>
        <w:spacing w:before="180"/>
        <w:jc w:val="both"/>
        <w:rPr>
          <w:rFonts w:eastAsia="MS Gothic"/>
          <w:szCs w:val="16"/>
          <w:lang w:eastAsia="ko-KR"/>
        </w:rPr>
      </w:pPr>
      <w:bookmarkStart w:id="4" w:name="_Hlk145277988"/>
      <w:r>
        <w:rPr>
          <w:rFonts w:eastAsia="MS Gothic"/>
          <w:szCs w:val="16"/>
          <w:lang w:eastAsia="ko-KR"/>
        </w:rPr>
        <w:t>This contribution discusses</w:t>
      </w:r>
      <w:r w:rsidR="0032249F">
        <w:rPr>
          <w:rFonts w:eastAsia="MS Gothic"/>
          <w:szCs w:val="16"/>
          <w:lang w:eastAsia="ko-KR"/>
        </w:rPr>
        <w:t xml:space="preserve"> </w:t>
      </w:r>
      <w:r w:rsidR="005B1D7E">
        <w:rPr>
          <w:rFonts w:eastAsia="MS Gothic"/>
          <w:szCs w:val="16"/>
          <w:lang w:eastAsia="ko-KR"/>
        </w:rPr>
        <w:t xml:space="preserve">a </w:t>
      </w:r>
      <w:r w:rsidR="001A06BF">
        <w:rPr>
          <w:rFonts w:eastAsia="MS Gothic"/>
          <w:szCs w:val="16"/>
          <w:lang w:eastAsia="ko-KR"/>
        </w:rPr>
        <w:t>remaining issue</w:t>
      </w:r>
      <w:r w:rsidR="00A57A89">
        <w:rPr>
          <w:rFonts w:eastAsia="MS Gothic"/>
          <w:szCs w:val="16"/>
          <w:lang w:eastAsia="ko-KR"/>
        </w:rPr>
        <w:t xml:space="preserve"> on </w:t>
      </w:r>
      <w:r w:rsidR="00AB6FAA">
        <w:rPr>
          <w:rFonts w:eastAsia="MS Gothic"/>
          <w:szCs w:val="16"/>
          <w:lang w:eastAsia="ko-KR"/>
        </w:rPr>
        <w:t>IoT-NTN TDD mode</w:t>
      </w:r>
      <w:r w:rsidR="00A934E3">
        <w:rPr>
          <w:rFonts w:eastAsia="MS Gothic"/>
          <w:szCs w:val="16"/>
          <w:lang w:eastAsia="ko-KR"/>
        </w:rPr>
        <w:t xml:space="preserve"> based on [1]</w:t>
      </w:r>
      <w:r w:rsidR="001904A4">
        <w:rPr>
          <w:rFonts w:eastAsia="MS Gothic"/>
          <w:szCs w:val="16"/>
          <w:lang w:eastAsia="ko-KR"/>
        </w:rPr>
        <w:t xml:space="preserve">. </w:t>
      </w:r>
    </w:p>
    <w:p w14:paraId="60C5BAF8" w14:textId="28902AE4" w:rsidR="00CC3DEA" w:rsidRDefault="00CC3DEA">
      <w:pPr>
        <w:spacing w:after="0" w:line="240" w:lineRule="auto"/>
        <w:rPr>
          <w:rFonts w:eastAsia="MS Gothic"/>
          <w:szCs w:val="16"/>
          <w:lang w:eastAsia="ko-KR"/>
        </w:rPr>
      </w:pPr>
    </w:p>
    <w:bookmarkEnd w:id="1"/>
    <w:p w14:paraId="0754AE02" w14:textId="1AE56A15" w:rsid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r w:rsidR="000664C4">
        <w:rPr>
          <w:rFonts w:ascii="Arial" w:eastAsia="SimSun" w:hAnsi="Arial" w:cs="Arial"/>
          <w:kern w:val="28"/>
          <w:sz w:val="32"/>
          <w:szCs w:val="18"/>
          <w:lang w:eastAsia="zh-CN"/>
        </w:rPr>
        <w:t xml:space="preserve"> </w:t>
      </w:r>
    </w:p>
    <w:p w14:paraId="44BB9587" w14:textId="03F5617F" w:rsidR="00BE763B" w:rsidRDefault="00BE763B" w:rsidP="005A0D6B">
      <w:pPr>
        <w:spacing w:before="60" w:after="60"/>
        <w:jc w:val="both"/>
        <w:rPr>
          <w:bCs/>
        </w:rPr>
      </w:pPr>
    </w:p>
    <w:p w14:paraId="77A9FC81" w14:textId="6215AB19" w:rsidR="00BE763B" w:rsidRPr="00FE47A0" w:rsidRDefault="00BE763B" w:rsidP="005A0D6B">
      <w:pPr>
        <w:spacing w:before="60" w:after="60"/>
        <w:jc w:val="both"/>
        <w:rPr>
          <w:b/>
          <w:bCs/>
          <w:i/>
          <w:iCs/>
        </w:rPr>
      </w:pPr>
      <w:r w:rsidRPr="00FE47A0">
        <w:rPr>
          <w:rFonts w:hint="eastAsia"/>
          <w:b/>
          <w:bCs/>
          <w:i/>
          <w:iCs/>
        </w:rPr>
        <w:t>UL Gap (Reserved Resources)</w:t>
      </w:r>
    </w:p>
    <w:p w14:paraId="253DB567" w14:textId="1F87225E" w:rsidR="000C4C04" w:rsidRPr="000C4C04" w:rsidRDefault="000C4C04" w:rsidP="005A0D6B">
      <w:pPr>
        <w:spacing w:before="60" w:after="60"/>
        <w:jc w:val="both"/>
        <w:rPr>
          <w:bCs/>
        </w:rPr>
      </w:pPr>
      <w:r w:rsidRPr="000C4C04">
        <w:rPr>
          <w:bCs/>
        </w:rPr>
        <w:t xml:space="preserve">During the discussion referenced in Section 4.2 of </w:t>
      </w:r>
      <w:r w:rsidR="00230C37">
        <w:rPr>
          <w:bCs/>
        </w:rPr>
        <w:t>[2]</w:t>
      </w:r>
      <w:r w:rsidRPr="000C4C04">
        <w:rPr>
          <w:bCs/>
        </w:rPr>
        <w:t xml:space="preserve">, a proposal was made to define "reserved resources" to explicitly create gaps in the uplink transmission. The intention was to facilitate switching or to handle specific scheduling constraints in </w:t>
      </w:r>
      <w:r>
        <w:rPr>
          <w:bCs/>
        </w:rPr>
        <w:t xml:space="preserve">IoT </w:t>
      </w:r>
      <w:r w:rsidRPr="000C4C04">
        <w:rPr>
          <w:bCs/>
        </w:rPr>
        <w:t>NTN.</w:t>
      </w:r>
      <w:r w:rsidR="00A913E7">
        <w:rPr>
          <w:bCs/>
        </w:rPr>
        <w:t xml:space="preserve"> </w:t>
      </w:r>
      <w:r w:rsidRPr="000C4C04">
        <w:rPr>
          <w:bCs/>
        </w:rPr>
        <w:t>However, a significant number of companies opposed this direction. The primary technical arguments against introducing explicit reserved resources for UL gaps are summarized as follows</w:t>
      </w:r>
      <w:r w:rsidR="00F945F9">
        <w:rPr>
          <w:bCs/>
        </w:rPr>
        <w:t>.</w:t>
      </w:r>
    </w:p>
    <w:p w14:paraId="4B64E71E" w14:textId="27F89B95" w:rsidR="000C4C04" w:rsidRPr="00BE763B" w:rsidRDefault="000C4C04" w:rsidP="00BE763B">
      <w:pPr>
        <w:pStyle w:val="af9"/>
        <w:numPr>
          <w:ilvl w:val="0"/>
          <w:numId w:val="40"/>
        </w:numPr>
        <w:spacing w:before="60" w:after="60"/>
        <w:jc w:val="both"/>
        <w:rPr>
          <w:rFonts w:ascii="Times New Roman" w:eastAsia="바탕" w:hAnsi="Times New Roman"/>
          <w:bCs/>
          <w:sz w:val="20"/>
          <w:szCs w:val="20"/>
          <w:lang w:val="en-US" w:eastAsia="en-US"/>
        </w:rPr>
      </w:pPr>
      <w:r w:rsidRPr="00BE763B">
        <w:rPr>
          <w:rFonts w:ascii="Times New Roman" w:eastAsia="바탕" w:hAnsi="Times New Roman"/>
          <w:bCs/>
          <w:sz w:val="20"/>
          <w:szCs w:val="20"/>
          <w:lang w:val="en-US" w:eastAsia="en-US"/>
        </w:rPr>
        <w:t xml:space="preserve">Scheduler Implementation Sufficiency: The </w:t>
      </w:r>
      <w:r w:rsidR="00BE763B">
        <w:rPr>
          <w:rFonts w:ascii="Times New Roman" w:eastAsia="바탕" w:hAnsi="Times New Roman"/>
          <w:bCs/>
          <w:sz w:val="20"/>
          <w:szCs w:val="20"/>
          <w:lang w:val="en-US" w:eastAsia="en-US"/>
        </w:rPr>
        <w:t>e</w:t>
      </w:r>
      <w:r w:rsidRPr="00BE763B">
        <w:rPr>
          <w:rFonts w:ascii="Times New Roman" w:eastAsia="바탕" w:hAnsi="Times New Roman"/>
          <w:bCs/>
          <w:sz w:val="20"/>
          <w:szCs w:val="20"/>
          <w:lang w:val="en-US" w:eastAsia="en-US"/>
        </w:rPr>
        <w:t>NB scheduler already possesses full visibility of the UE's capability and the network topology. The network can avoid scheduling UL transmissions during necessary gap durations (e.g., for retuning or half-duplex constraints) without needing a standardized, explicit "reserved resource" configuration. Intelligent scheduling is a purely implementation-based solution that achieves the same result without specification impact.</w:t>
      </w:r>
    </w:p>
    <w:p w14:paraId="7903344D" w14:textId="35F371D7" w:rsidR="000C4C04" w:rsidRPr="00BE763B" w:rsidRDefault="000C4C04" w:rsidP="00BE763B">
      <w:pPr>
        <w:pStyle w:val="af9"/>
        <w:numPr>
          <w:ilvl w:val="0"/>
          <w:numId w:val="40"/>
        </w:numPr>
        <w:spacing w:before="60" w:after="60"/>
        <w:jc w:val="both"/>
        <w:rPr>
          <w:rFonts w:ascii="Times New Roman" w:eastAsia="바탕" w:hAnsi="Times New Roman"/>
          <w:bCs/>
          <w:sz w:val="20"/>
          <w:szCs w:val="20"/>
          <w:lang w:val="en-US" w:eastAsia="en-US"/>
        </w:rPr>
      </w:pPr>
      <w:r w:rsidRPr="00BE763B">
        <w:rPr>
          <w:rFonts w:ascii="Times New Roman" w:eastAsia="바탕" w:hAnsi="Times New Roman"/>
          <w:bCs/>
          <w:sz w:val="20"/>
          <w:szCs w:val="20"/>
          <w:lang w:val="en-US" w:eastAsia="en-US"/>
        </w:rPr>
        <w:t>Signaling Overhead: Introducing a new RRC configuration or DCI indication to define these reserved resources increases the signaling overhead. For IoT devices, which are often bandwidth-constrained, minimizing control signaling is critical.</w:t>
      </w:r>
    </w:p>
    <w:p w14:paraId="538A2A28" w14:textId="057D882E" w:rsidR="00E64FD4" w:rsidRPr="00BE763B" w:rsidRDefault="000C4C04" w:rsidP="00BE763B">
      <w:pPr>
        <w:pStyle w:val="af9"/>
        <w:numPr>
          <w:ilvl w:val="0"/>
          <w:numId w:val="40"/>
        </w:numPr>
        <w:spacing w:before="60" w:after="60"/>
        <w:jc w:val="both"/>
        <w:rPr>
          <w:rFonts w:ascii="Times New Roman" w:eastAsia="바탕" w:hAnsi="Times New Roman"/>
          <w:bCs/>
          <w:sz w:val="20"/>
          <w:szCs w:val="20"/>
          <w:lang w:val="en-US" w:eastAsia="en-US"/>
        </w:rPr>
      </w:pPr>
      <w:r w:rsidRPr="00BE763B">
        <w:rPr>
          <w:rFonts w:ascii="Times New Roman" w:eastAsia="바탕" w:hAnsi="Times New Roman"/>
          <w:bCs/>
          <w:sz w:val="20"/>
          <w:szCs w:val="20"/>
          <w:lang w:val="en-US" w:eastAsia="en-US"/>
        </w:rPr>
        <w:t>Complexity vs. Gain: The performance gain offered by explicit reservation is negligible compared to the increased complexity in the UE's resource mapping logic. Existing mechanisms, such as invalid symbol patterns or simply not granting UL allocations, are sufficient.</w:t>
      </w:r>
    </w:p>
    <w:p w14:paraId="1F896067" w14:textId="158D928F" w:rsidR="00BE763B" w:rsidRPr="00BE763B" w:rsidRDefault="00BE763B" w:rsidP="00BE763B">
      <w:pPr>
        <w:spacing w:before="60" w:after="60"/>
        <w:rPr>
          <w:bCs/>
          <w:lang w:eastAsia="ko-KR"/>
        </w:rPr>
      </w:pPr>
      <w:r w:rsidRPr="00BE763B">
        <w:rPr>
          <w:bCs/>
          <w:lang w:eastAsia="ko-KR"/>
        </w:rPr>
        <w:t xml:space="preserve">Based on the views shared by opposing companies, there is no consensus that the current specification fails to handle UL gaps adequately. The introduction of reserved resources adds unnecessary normative text for an issue solvable by </w:t>
      </w:r>
      <w:r w:rsidR="00E758BC">
        <w:rPr>
          <w:bCs/>
          <w:lang w:eastAsia="ko-KR"/>
        </w:rPr>
        <w:t>e</w:t>
      </w:r>
      <w:r w:rsidRPr="00BE763B">
        <w:rPr>
          <w:bCs/>
          <w:lang w:eastAsia="ko-KR"/>
        </w:rPr>
        <w:t>NB implementation.</w:t>
      </w:r>
    </w:p>
    <w:p w14:paraId="1989B05A" w14:textId="77777777" w:rsidR="00BE763B" w:rsidRPr="00BE763B" w:rsidRDefault="00BE763B" w:rsidP="00BE763B">
      <w:pPr>
        <w:spacing w:before="60" w:after="60"/>
        <w:rPr>
          <w:bCs/>
          <w:lang w:eastAsia="ko-KR"/>
        </w:rPr>
      </w:pPr>
    </w:p>
    <w:p w14:paraId="114A9194" w14:textId="5B7A0161" w:rsidR="00BE763B" w:rsidRPr="00BE763B" w:rsidRDefault="00BE763B" w:rsidP="00BE763B">
      <w:pPr>
        <w:spacing w:before="60" w:after="60"/>
        <w:rPr>
          <w:b/>
          <w:u w:val="single"/>
          <w:lang w:eastAsia="ko-KR"/>
        </w:rPr>
      </w:pPr>
      <w:r w:rsidRPr="00BE763B">
        <w:rPr>
          <w:b/>
          <w:u w:val="single"/>
          <w:lang w:eastAsia="ko-KR"/>
        </w:rPr>
        <w:t>Proposal 1: Do not support the introduction of explicit reserved resources or new signaling mechanisms for UL gaps in IoT NTN. The network shall rely on implementation-based scheduling to handle necessary transmission gaps.</w:t>
      </w:r>
    </w:p>
    <w:p w14:paraId="73A9B33A" w14:textId="26259471" w:rsidR="00BE763B" w:rsidRDefault="00BE763B" w:rsidP="000C4C04">
      <w:pPr>
        <w:spacing w:before="60" w:after="60"/>
        <w:rPr>
          <w:b/>
          <w:lang w:eastAsia="ko-KR"/>
        </w:rPr>
      </w:pPr>
    </w:p>
    <w:p w14:paraId="0ABC743E" w14:textId="4649B030" w:rsidR="00125F3E" w:rsidRPr="00FE47A0" w:rsidRDefault="00125F3E" w:rsidP="000C4C04">
      <w:pPr>
        <w:spacing w:before="60" w:after="60"/>
        <w:rPr>
          <w:b/>
          <w:bCs/>
          <w:i/>
          <w:iCs/>
          <w:lang w:eastAsia="ko-KR"/>
        </w:rPr>
      </w:pPr>
      <w:r w:rsidRPr="00FE47A0">
        <w:rPr>
          <w:rFonts w:hint="eastAsia"/>
          <w:b/>
          <w:bCs/>
          <w:i/>
          <w:iCs/>
        </w:rPr>
        <w:t>TA Adjustment</w:t>
      </w:r>
    </w:p>
    <w:p w14:paraId="1AA63917" w14:textId="2AD9F16D" w:rsidR="00125F3E" w:rsidRPr="00125F3E" w:rsidRDefault="00125F3E" w:rsidP="00E758BC">
      <w:pPr>
        <w:spacing w:before="60" w:after="60"/>
        <w:jc w:val="both"/>
        <w:rPr>
          <w:bCs/>
          <w:lang w:eastAsia="ko-KR"/>
        </w:rPr>
      </w:pPr>
      <w:r w:rsidRPr="00125F3E">
        <w:rPr>
          <w:bCs/>
          <w:lang w:eastAsia="ko-KR"/>
        </w:rPr>
        <w:t xml:space="preserve">Section 4.3 of </w:t>
      </w:r>
      <w:r>
        <w:rPr>
          <w:bCs/>
          <w:lang w:eastAsia="ko-KR"/>
        </w:rPr>
        <w:t>[2]</w:t>
      </w:r>
      <w:r w:rsidRPr="00125F3E">
        <w:rPr>
          <w:bCs/>
          <w:lang w:eastAsia="ko-KR"/>
        </w:rPr>
        <w:t xml:space="preserve"> a discussion on enhancing TA adjustment mechanisms, potentially to address the high Doppler and delay variation inherent in LEO satellite constellations. Proponents suggested new signaling or more frequent TA updates.</w:t>
      </w:r>
      <w:r w:rsidR="00F945F9">
        <w:rPr>
          <w:bCs/>
          <w:lang w:eastAsia="ko-KR"/>
        </w:rPr>
        <w:t xml:space="preserve"> </w:t>
      </w:r>
      <w:r w:rsidRPr="00125F3E">
        <w:rPr>
          <w:bCs/>
          <w:lang w:eastAsia="ko-KR"/>
        </w:rPr>
        <w:t>However, the prevailing view among companies opposing this feature emphasizes the sufficiency of the existing Rel-17 IoT NTN framework</w:t>
      </w:r>
      <w:r w:rsidR="00F945F9">
        <w:rPr>
          <w:bCs/>
          <w:lang w:eastAsia="ko-KR"/>
        </w:rPr>
        <w:t>.</w:t>
      </w:r>
    </w:p>
    <w:p w14:paraId="75E8D895" w14:textId="59C02D47" w:rsidR="00125F3E" w:rsidRPr="00F945F9" w:rsidRDefault="00125F3E" w:rsidP="00F945F9">
      <w:pPr>
        <w:pStyle w:val="af9"/>
        <w:numPr>
          <w:ilvl w:val="0"/>
          <w:numId w:val="43"/>
        </w:numPr>
        <w:spacing w:before="60" w:after="60"/>
        <w:jc w:val="both"/>
        <w:rPr>
          <w:rFonts w:ascii="Times New Roman" w:hAnsi="Times New Roman"/>
          <w:bCs/>
          <w:sz w:val="20"/>
          <w:szCs w:val="20"/>
          <w:lang w:eastAsia="ko-KR"/>
        </w:rPr>
      </w:pPr>
      <w:r w:rsidRPr="00F945F9">
        <w:rPr>
          <w:rFonts w:ascii="Times New Roman" w:hAnsi="Times New Roman"/>
          <w:bCs/>
          <w:sz w:val="20"/>
          <w:szCs w:val="20"/>
          <w:lang w:eastAsia="ko-KR"/>
        </w:rPr>
        <w:lastRenderedPageBreak/>
        <w:t>Sufficiency of UE Autonomous Pre-compensation: In Rel-17 NTN, the UE is already required to perform autonomous pre-compensation for the Common Timing Advance (common TA) and frequency shift based on GNSS and ephemeris data. This open-loop mechanism handles the bulk of the delay variation caused by satellite movement.</w:t>
      </w:r>
    </w:p>
    <w:p w14:paraId="00C9C9F0" w14:textId="4F50F5EC" w:rsidR="00125F3E" w:rsidRPr="00F945F9" w:rsidRDefault="00125F3E" w:rsidP="00F945F9">
      <w:pPr>
        <w:pStyle w:val="af9"/>
        <w:numPr>
          <w:ilvl w:val="0"/>
          <w:numId w:val="43"/>
        </w:numPr>
        <w:spacing w:before="60" w:after="60"/>
        <w:jc w:val="both"/>
        <w:rPr>
          <w:rFonts w:ascii="Times New Roman" w:hAnsi="Times New Roman"/>
          <w:bCs/>
          <w:sz w:val="20"/>
          <w:szCs w:val="20"/>
          <w:lang w:eastAsia="ko-KR"/>
        </w:rPr>
      </w:pPr>
      <w:r w:rsidRPr="00F945F9">
        <w:rPr>
          <w:rFonts w:ascii="Times New Roman" w:hAnsi="Times New Roman"/>
          <w:bCs/>
          <w:sz w:val="20"/>
          <w:szCs w:val="20"/>
          <w:lang w:eastAsia="ko-KR"/>
        </w:rPr>
        <w:t>Legacy MAC CE Adequacy: Any residual timing error (differential TA) is adequately handled by the legacy Timing Advance Command MAC CE. The drift rates in typical IoT NTN scenarios do not justify a new, faster, or more granular TA adjustment mechanism, which would only consume valuable PDSCH resources.</w:t>
      </w:r>
    </w:p>
    <w:p w14:paraId="5854AEC3" w14:textId="6B8FB811" w:rsidR="00125F3E" w:rsidRPr="00F945F9" w:rsidRDefault="00125F3E" w:rsidP="00F945F9">
      <w:pPr>
        <w:pStyle w:val="af9"/>
        <w:numPr>
          <w:ilvl w:val="0"/>
          <w:numId w:val="43"/>
        </w:numPr>
        <w:spacing w:before="60" w:after="60"/>
        <w:jc w:val="both"/>
        <w:rPr>
          <w:rFonts w:ascii="Times New Roman" w:hAnsi="Times New Roman"/>
          <w:bCs/>
          <w:sz w:val="20"/>
          <w:szCs w:val="20"/>
          <w:lang w:eastAsia="ko-KR"/>
        </w:rPr>
      </w:pPr>
      <w:r w:rsidRPr="00F945F9">
        <w:rPr>
          <w:rFonts w:ascii="Times New Roman" w:hAnsi="Times New Roman"/>
          <w:bCs/>
          <w:sz w:val="20"/>
          <w:szCs w:val="20"/>
          <w:lang w:eastAsia="ko-KR"/>
        </w:rPr>
        <w:t>Power Consumption Concerns: Frequent processing of new TA adjustment commands contradicts the low-power consumption requirements of IoT devices. The device should rely primarily on its own GNSS-based calculation rather than continuous network feedback.</w:t>
      </w:r>
    </w:p>
    <w:p w14:paraId="6C8C1020" w14:textId="49608EE0" w:rsidR="00125F3E" w:rsidRDefault="00125F3E" w:rsidP="00E758BC">
      <w:pPr>
        <w:spacing w:before="60" w:after="60"/>
        <w:jc w:val="both"/>
        <w:rPr>
          <w:bCs/>
          <w:lang w:eastAsia="ko-KR"/>
        </w:rPr>
      </w:pPr>
      <w:r w:rsidRPr="00125F3E">
        <w:rPr>
          <w:bCs/>
          <w:lang w:eastAsia="ko-KR"/>
        </w:rPr>
        <w:t>The existing open-loop pre-compensation combined with legacy closed-loop corrections is robust enough for the target scenarios. Adding new TA adjustment features would increase UE complexity and power consumption without clear performance benefits.</w:t>
      </w:r>
    </w:p>
    <w:p w14:paraId="1855FD19" w14:textId="77777777" w:rsidR="006F0AEB" w:rsidRPr="00125F3E" w:rsidRDefault="006F0AEB" w:rsidP="00E758BC">
      <w:pPr>
        <w:spacing w:before="60" w:after="60"/>
        <w:jc w:val="both"/>
        <w:rPr>
          <w:bCs/>
          <w:lang w:eastAsia="ko-KR"/>
        </w:rPr>
      </w:pPr>
    </w:p>
    <w:p w14:paraId="4156D9D0" w14:textId="042BC6BB" w:rsidR="00BE763B" w:rsidRPr="006F0AEB" w:rsidRDefault="00125F3E" w:rsidP="00E758BC">
      <w:pPr>
        <w:spacing w:before="60" w:after="60"/>
        <w:jc w:val="both"/>
        <w:rPr>
          <w:b/>
          <w:u w:val="single"/>
          <w:lang w:eastAsia="ko-KR"/>
        </w:rPr>
      </w:pPr>
      <w:r w:rsidRPr="006F0AEB">
        <w:rPr>
          <w:b/>
          <w:u w:val="single"/>
          <w:lang w:eastAsia="ko-KR"/>
        </w:rPr>
        <w:t>Proposal 2:</w:t>
      </w:r>
      <w:r w:rsidR="006F0AEB" w:rsidRPr="006F0AEB">
        <w:rPr>
          <w:b/>
          <w:u w:val="single"/>
          <w:lang w:eastAsia="ko-KR"/>
        </w:rPr>
        <w:t xml:space="preserve"> </w:t>
      </w:r>
      <w:r w:rsidRPr="006F0AEB">
        <w:rPr>
          <w:b/>
          <w:u w:val="single"/>
          <w:lang w:eastAsia="ko-KR"/>
        </w:rPr>
        <w:t>Do not introduce new signaling or procedures for TA adjustment. Reconfirm that UE autonomous pre-compensation combined with legacy MAC CE signaling is sufficient for IoT NTN operation.</w:t>
      </w:r>
    </w:p>
    <w:p w14:paraId="52777308" w14:textId="77777777" w:rsidR="00BE763B" w:rsidRPr="00C17C8A" w:rsidRDefault="00BE763B" w:rsidP="000C4C04">
      <w:pPr>
        <w:spacing w:before="60" w:after="60"/>
        <w:rPr>
          <w:b/>
          <w:lang w:eastAsia="ko-KR"/>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1DBD2AD5" w14:textId="6EB695CD" w:rsidR="002C680D" w:rsidRDefault="00BF6C50" w:rsidP="00CE47E3">
      <w:pPr>
        <w:spacing w:before="180"/>
        <w:jc w:val="both"/>
        <w:rPr>
          <w:rFonts w:eastAsia="MS Gothic"/>
          <w:szCs w:val="16"/>
          <w:lang w:eastAsia="ko-KR"/>
        </w:rPr>
      </w:pPr>
      <w:r>
        <w:rPr>
          <w:rFonts w:eastAsia="MS Gothic"/>
          <w:szCs w:val="16"/>
          <w:lang w:eastAsia="ko-KR"/>
        </w:rPr>
        <w:t xml:space="preserve">This contribution discusses </w:t>
      </w:r>
      <w:r w:rsidR="00BA1B02">
        <w:rPr>
          <w:rFonts w:eastAsia="MS Gothic"/>
          <w:szCs w:val="16"/>
          <w:lang w:eastAsia="ko-KR"/>
        </w:rPr>
        <w:t xml:space="preserve">a </w:t>
      </w:r>
      <w:r w:rsidR="0097696E">
        <w:rPr>
          <w:rFonts w:eastAsia="MS Gothic"/>
          <w:szCs w:val="16"/>
          <w:lang w:eastAsia="ko-KR"/>
        </w:rPr>
        <w:t xml:space="preserve">remaining </w:t>
      </w:r>
      <w:r>
        <w:rPr>
          <w:rFonts w:eastAsia="MS Gothic"/>
          <w:szCs w:val="16"/>
          <w:lang w:eastAsia="ko-KR"/>
        </w:rPr>
        <w:t xml:space="preserve">issue </w:t>
      </w:r>
      <w:r w:rsidR="00375232">
        <w:rPr>
          <w:rFonts w:eastAsia="MS Gothic"/>
          <w:szCs w:val="16"/>
          <w:lang w:eastAsia="ko-KR"/>
        </w:rPr>
        <w:t>for</w:t>
      </w:r>
      <w:r w:rsidR="009175C3">
        <w:rPr>
          <w:rFonts w:eastAsia="MS Gothic"/>
          <w:szCs w:val="16"/>
          <w:lang w:eastAsia="ko-KR"/>
        </w:rPr>
        <w:t xml:space="preserve"> </w:t>
      </w:r>
      <w:r w:rsidR="00C17C8A">
        <w:rPr>
          <w:rFonts w:eastAsia="MS Gothic"/>
          <w:szCs w:val="16"/>
          <w:lang w:eastAsia="ko-KR"/>
        </w:rPr>
        <w:t>IoT NTN TDD mode</w:t>
      </w:r>
      <w:r w:rsidR="00375232">
        <w:rPr>
          <w:rFonts w:eastAsia="MS Gothic"/>
          <w:szCs w:val="16"/>
          <w:lang w:eastAsia="ko-KR"/>
        </w:rPr>
        <w:t xml:space="preserve">. </w:t>
      </w:r>
      <w:r w:rsidR="00310209">
        <w:rPr>
          <w:rFonts w:eastAsia="MS Gothic"/>
          <w:szCs w:val="16"/>
          <w:lang w:eastAsia="ko-KR"/>
        </w:rPr>
        <w:t>The f</w:t>
      </w:r>
      <w:r w:rsidR="00375232">
        <w:rPr>
          <w:rFonts w:eastAsia="MS Gothic"/>
          <w:szCs w:val="16"/>
          <w:lang w:eastAsia="ko-KR"/>
        </w:rPr>
        <w:t xml:space="preserve">ollowing </w:t>
      </w:r>
      <w:r w:rsidR="00310209">
        <w:rPr>
          <w:rFonts w:eastAsia="MS Gothic"/>
          <w:szCs w:val="16"/>
          <w:lang w:eastAsia="ko-KR"/>
        </w:rPr>
        <w:t>is the</w:t>
      </w:r>
      <w:r w:rsidR="00375232">
        <w:rPr>
          <w:rFonts w:eastAsia="MS Gothic"/>
          <w:szCs w:val="16"/>
          <w:lang w:eastAsia="ko-KR"/>
        </w:rPr>
        <w:t xml:space="preserve"> proposal</w:t>
      </w:r>
      <w:r w:rsidR="005203FC">
        <w:rPr>
          <w:rFonts w:eastAsia="MS Gothic"/>
          <w:szCs w:val="16"/>
          <w:lang w:eastAsia="ko-KR"/>
        </w:rPr>
        <w:t xml:space="preserve"> in this contribution</w:t>
      </w:r>
      <w:r w:rsidR="00375232">
        <w:rPr>
          <w:rFonts w:eastAsia="MS Gothic"/>
          <w:szCs w:val="16"/>
          <w:lang w:eastAsia="ko-KR"/>
        </w:rPr>
        <w:t xml:space="preserve">. </w:t>
      </w:r>
      <w:bookmarkEnd w:id="2"/>
      <w:bookmarkEnd w:id="4"/>
    </w:p>
    <w:p w14:paraId="59412E3F" w14:textId="77777777" w:rsidR="00570818" w:rsidRPr="00BE763B" w:rsidRDefault="00570818" w:rsidP="00570818">
      <w:pPr>
        <w:spacing w:before="60" w:after="60"/>
        <w:rPr>
          <w:b/>
          <w:u w:val="single"/>
          <w:lang w:eastAsia="ko-KR"/>
        </w:rPr>
      </w:pPr>
      <w:r w:rsidRPr="00BE763B">
        <w:rPr>
          <w:b/>
          <w:u w:val="single"/>
          <w:lang w:eastAsia="ko-KR"/>
        </w:rPr>
        <w:t>Proposal 1: Do not support the introduction of explicit reserved resources or new signaling mechanisms for UL gaps in IoT NTN. The network shall rely on implementation-based scheduling to handle necessary transmission gaps.</w:t>
      </w:r>
    </w:p>
    <w:p w14:paraId="614C7FCE" w14:textId="77777777" w:rsidR="00570818" w:rsidRPr="006F0AEB" w:rsidRDefault="00570818" w:rsidP="00570818">
      <w:pPr>
        <w:spacing w:before="60" w:after="60"/>
        <w:jc w:val="both"/>
        <w:rPr>
          <w:b/>
          <w:u w:val="single"/>
          <w:lang w:eastAsia="ko-KR"/>
        </w:rPr>
      </w:pPr>
      <w:r w:rsidRPr="006F0AEB">
        <w:rPr>
          <w:b/>
          <w:u w:val="single"/>
          <w:lang w:eastAsia="ko-KR"/>
        </w:rPr>
        <w:t>Proposal 2: Do not introduce new signaling or procedures for TA adjustment. Reconfirm that UE autonomous pre-compensation combined with legacy MAC CE signaling is sufficient for IoT NTN operation.</w:t>
      </w:r>
    </w:p>
    <w:p w14:paraId="61AE078A" w14:textId="72BBFDB3" w:rsidR="009175C3" w:rsidRPr="00570818" w:rsidRDefault="009175C3" w:rsidP="00CE47E3">
      <w:pPr>
        <w:spacing w:before="180"/>
        <w:jc w:val="both"/>
        <w:rPr>
          <w:rFonts w:eastAsiaTheme="minorEastAsia"/>
          <w:lang w:eastAsia="ko-KR"/>
        </w:rPr>
      </w:pPr>
    </w:p>
    <w:p w14:paraId="05659791" w14:textId="1F25E849" w:rsidR="00E419D1" w:rsidRPr="00955133" w:rsidRDefault="00E419D1" w:rsidP="00E419D1">
      <w:pPr>
        <w:pStyle w:val="1"/>
        <w:spacing w:before="0" w:after="60"/>
        <w:ind w:left="432" w:hanging="432"/>
        <w:jc w:val="both"/>
        <w:rPr>
          <w:rFonts w:cs="Arial"/>
          <w:sz w:val="32"/>
          <w:lang w:val="en-US" w:eastAsia="ko-KR"/>
        </w:rPr>
      </w:pPr>
      <w:r>
        <w:rPr>
          <w:rFonts w:cs="Arial"/>
          <w:sz w:val="32"/>
          <w:lang w:val="en-US" w:eastAsia="ko-KR"/>
        </w:rPr>
        <w:t>Appendix</w:t>
      </w:r>
    </w:p>
    <w:p w14:paraId="3100B03E" w14:textId="7B851034" w:rsidR="00E419D1" w:rsidRDefault="003E420A" w:rsidP="00CE47E3">
      <w:pPr>
        <w:spacing w:before="180"/>
        <w:jc w:val="both"/>
        <w:rPr>
          <w:rFonts w:eastAsiaTheme="minorEastAsia"/>
          <w:lang w:eastAsia="ko-KR"/>
        </w:rPr>
      </w:pPr>
      <w:r>
        <w:rPr>
          <w:rFonts w:eastAsiaTheme="minorEastAsia" w:hint="eastAsia"/>
          <w:lang w:eastAsia="ko-KR"/>
        </w:rPr>
        <w:t>[</w:t>
      </w:r>
      <w:r>
        <w:rPr>
          <w:rFonts w:eastAsiaTheme="minorEastAsia"/>
          <w:lang w:eastAsia="ko-KR"/>
        </w:rPr>
        <w:t>1] RAN1#12</w:t>
      </w:r>
      <w:r w:rsidR="009675CA">
        <w:rPr>
          <w:rFonts w:eastAsiaTheme="minorEastAsia"/>
          <w:lang w:eastAsia="ko-KR"/>
        </w:rPr>
        <w:t>3</w:t>
      </w:r>
      <w:r>
        <w:rPr>
          <w:rFonts w:eastAsiaTheme="minorEastAsia"/>
          <w:lang w:eastAsia="ko-KR"/>
        </w:rPr>
        <w:t xml:space="preserve"> Chair Note </w:t>
      </w:r>
    </w:p>
    <w:p w14:paraId="38BFAE0A" w14:textId="3197C917" w:rsidR="00B53D0D" w:rsidRDefault="00B53D0D" w:rsidP="00B53D0D">
      <w:pPr>
        <w:spacing w:before="180"/>
        <w:jc w:val="both"/>
        <w:rPr>
          <w:rFonts w:eastAsiaTheme="minorEastAsia"/>
          <w:lang w:eastAsia="ko-KR"/>
        </w:rPr>
      </w:pPr>
      <w:r>
        <w:rPr>
          <w:rFonts w:eastAsiaTheme="minorEastAsia" w:hint="eastAsia"/>
          <w:lang w:eastAsia="ko-KR"/>
        </w:rPr>
        <w:t>[</w:t>
      </w:r>
      <w:r>
        <w:rPr>
          <w:rFonts w:eastAsiaTheme="minorEastAsia"/>
          <w:lang w:eastAsia="ko-KR"/>
        </w:rPr>
        <w:t xml:space="preserve">2] R1-2509065, </w:t>
      </w:r>
      <w:r w:rsidRPr="00BA6E70">
        <w:rPr>
          <w:rFonts w:eastAsia="Times New Roman"/>
        </w:rPr>
        <w:t>Final FL summary for Rel-19 IoT-NTN maintenance</w:t>
      </w:r>
    </w:p>
    <w:p w14:paraId="3ACBA50F" w14:textId="77777777" w:rsidR="00B53D0D" w:rsidRPr="009175C3" w:rsidRDefault="00B53D0D" w:rsidP="00CE47E3">
      <w:pPr>
        <w:spacing w:before="180"/>
        <w:jc w:val="both"/>
        <w:rPr>
          <w:rFonts w:eastAsiaTheme="minorEastAsia"/>
          <w:lang w:eastAsia="ko-KR"/>
        </w:rPr>
      </w:pPr>
    </w:p>
    <w:sectPr w:rsidR="00B53D0D" w:rsidRPr="009175C3"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44DA8" w14:textId="77777777" w:rsidR="005D692C" w:rsidRDefault="005D692C">
      <w:r>
        <w:separator/>
      </w:r>
    </w:p>
  </w:endnote>
  <w:endnote w:type="continuationSeparator" w:id="0">
    <w:p w14:paraId="4CCC36B4" w14:textId="77777777" w:rsidR="005D692C" w:rsidRDefault="005D6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053437EC"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F540B3">
      <w:rPr>
        <w:rStyle w:val="af2"/>
        <w:i/>
        <w:color w:val="auto"/>
      </w:rPr>
      <w:t>8</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DDD82" w14:textId="77777777" w:rsidR="005D692C" w:rsidRDefault="005D692C">
      <w:r>
        <w:separator/>
      </w:r>
    </w:p>
  </w:footnote>
  <w:footnote w:type="continuationSeparator" w:id="0">
    <w:p w14:paraId="5158C8E8" w14:textId="77777777" w:rsidR="005D692C" w:rsidRDefault="005D6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BF4056"/>
    <w:multiLevelType w:val="multilevel"/>
    <w:tmpl w:val="FFBF40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FFEF25E"/>
    <w:multiLevelType w:val="multilevel"/>
    <w:tmpl w:val="FFFEF2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FFFFFFFE"/>
    <w:multiLevelType w:val="singleLevel"/>
    <w:tmpl w:val="FFFFFFFF"/>
    <w:lvl w:ilvl="0">
      <w:numFmt w:val="decimal"/>
      <w:pStyle w:val="textintend1"/>
      <w:lvlText w:val="*"/>
      <w:lvlJc w:val="left"/>
    </w:lvl>
  </w:abstractNum>
  <w:abstractNum w:abstractNumId="8"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6952BDB"/>
    <w:multiLevelType w:val="hybridMultilevel"/>
    <w:tmpl w:val="7890CA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11044E"/>
    <w:multiLevelType w:val="hybridMultilevel"/>
    <w:tmpl w:val="B0B6D328"/>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7" w15:restartNumberingAfterBreak="0">
    <w:nsid w:val="22AE3885"/>
    <w:multiLevelType w:val="hybridMultilevel"/>
    <w:tmpl w:val="29A63326"/>
    <w:lvl w:ilvl="0" w:tplc="84AC64D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9" w15:restartNumberingAfterBreak="0">
    <w:nsid w:val="2B756533"/>
    <w:multiLevelType w:val="hybridMultilevel"/>
    <w:tmpl w:val="26D28B36"/>
    <w:lvl w:ilvl="0" w:tplc="15441E3C">
      <w:numFmt w:val="bullet"/>
      <w:lvlText w:val="•"/>
      <w:lvlJc w:val="left"/>
      <w:pPr>
        <w:ind w:left="730" w:hanging="400"/>
      </w:pPr>
      <w:rPr>
        <w:rFonts w:ascii="Times" w:eastAsia="바탕" w:hAnsi="Times" w:cs="Time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0" w15:restartNumberingAfterBreak="0">
    <w:nsid w:val="2C3076B9"/>
    <w:multiLevelType w:val="hybridMultilevel"/>
    <w:tmpl w:val="CEFAC328"/>
    <w:lvl w:ilvl="0" w:tplc="9BB2A382">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3C955BC4"/>
    <w:multiLevelType w:val="hybridMultilevel"/>
    <w:tmpl w:val="682CED92"/>
    <w:lvl w:ilvl="0" w:tplc="624681F8">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7" w15:restartNumberingAfterBreak="0">
    <w:nsid w:val="54E81DC6"/>
    <w:multiLevelType w:val="hybridMultilevel"/>
    <w:tmpl w:val="F3EAFD34"/>
    <w:lvl w:ilvl="0" w:tplc="15441E3C">
      <w:numFmt w:val="bullet"/>
      <w:lvlText w:val="•"/>
      <w:lvlJc w:val="left"/>
      <w:pPr>
        <w:ind w:left="684" w:hanging="400"/>
      </w:pPr>
      <w:rPr>
        <w:rFonts w:ascii="Times" w:eastAsia="바탕" w:hAnsi="Times" w:cs="Time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E35308"/>
    <w:multiLevelType w:val="multilevel"/>
    <w:tmpl w:val="657A57E6"/>
    <w:lvl w:ilvl="0">
      <w:numFmt w:val="bullet"/>
      <w:lvlText w:val="•"/>
      <w:lvlJc w:val="left"/>
      <w:pPr>
        <w:tabs>
          <w:tab w:val="num" w:pos="0"/>
        </w:tabs>
        <w:ind w:left="846" w:hanging="420"/>
      </w:pPr>
      <w:rPr>
        <w:rFonts w:ascii="Times" w:eastAsia="바탕" w:hAnsi="Times" w:cs="Times"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31" w15:restartNumberingAfterBreak="0">
    <w:nsid w:val="63503E2A"/>
    <w:multiLevelType w:val="hybridMultilevel"/>
    <w:tmpl w:val="91E45084"/>
    <w:lvl w:ilvl="0" w:tplc="A29CB8C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B863B65"/>
    <w:multiLevelType w:val="hybridMultilevel"/>
    <w:tmpl w:val="836EB39E"/>
    <w:lvl w:ilvl="0" w:tplc="88BE5554">
      <w:start w:val="1"/>
      <w:numFmt w:val="bullet"/>
      <w:lvlText w:val="·"/>
      <w:lvlJc w:val="left"/>
      <w:pPr>
        <w:ind w:left="1084" w:hanging="400"/>
      </w:pPr>
      <w:rPr>
        <w:rFonts w:ascii="Segoe UI Semibold" w:hAnsi="Segoe UI Semibold"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4" w15:restartNumberingAfterBreak="0">
    <w:nsid w:val="74076FAF"/>
    <w:multiLevelType w:val="hybridMultilevel"/>
    <w:tmpl w:val="A1804E56"/>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E9E510A"/>
    <w:multiLevelType w:val="hybridMultilevel"/>
    <w:tmpl w:val="6630DE78"/>
    <w:lvl w:ilvl="0" w:tplc="9BB2A382">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41"/>
  </w:num>
  <w:num w:numId="3">
    <w:abstractNumId w:val="21"/>
  </w:num>
  <w:num w:numId="4">
    <w:abstractNumId w:val="28"/>
  </w:num>
  <w:num w:numId="5">
    <w:abstractNumId w:val="14"/>
  </w:num>
  <w:num w:numId="6">
    <w:abstractNumId w:val="36"/>
  </w:num>
  <w:num w:numId="7">
    <w:abstractNumId w:val="22"/>
  </w:num>
  <w:num w:numId="8">
    <w:abstractNumId w:val="7"/>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6"/>
  </w:num>
  <w:num w:numId="10">
    <w:abstractNumId w:val="29"/>
  </w:num>
  <w:num w:numId="11">
    <w:abstractNumId w:val="38"/>
  </w:num>
  <w:num w:numId="12">
    <w:abstractNumId w:val="23"/>
  </w:num>
  <w:num w:numId="13">
    <w:abstractNumId w:val="16"/>
  </w:num>
  <w:num w:numId="14">
    <w:abstractNumId w:val="0"/>
  </w:num>
  <w:num w:numId="15">
    <w:abstractNumId w:val="19"/>
  </w:num>
  <w:num w:numId="16">
    <w:abstractNumId w:val="30"/>
  </w:num>
  <w:num w:numId="17">
    <w:abstractNumId w:val="12"/>
  </w:num>
  <w:num w:numId="18">
    <w:abstractNumId w:val="37"/>
  </w:num>
  <w:num w:numId="19">
    <w:abstractNumId w:val="3"/>
  </w:num>
  <w:num w:numId="20">
    <w:abstractNumId w:val="39"/>
  </w:num>
  <w:num w:numId="21">
    <w:abstractNumId w:val="2"/>
  </w:num>
  <w:num w:numId="22">
    <w:abstractNumId w:val="1"/>
  </w:num>
  <w:num w:numId="23">
    <w:abstractNumId w:val="4"/>
  </w:num>
  <w:num w:numId="24">
    <w:abstractNumId w:val="5"/>
  </w:num>
  <w:num w:numId="25">
    <w:abstractNumId w:val="6"/>
  </w:num>
  <w:num w:numId="26">
    <w:abstractNumId w:val="33"/>
  </w:num>
  <w:num w:numId="27">
    <w:abstractNumId w:val="13"/>
  </w:num>
  <w:num w:numId="28">
    <w:abstractNumId w:val="9"/>
  </w:num>
  <w:num w:numId="29">
    <w:abstractNumId w:val="10"/>
  </w:num>
  <w:num w:numId="30">
    <w:abstractNumId w:val="35"/>
  </w:num>
  <w:num w:numId="31">
    <w:abstractNumId w:val="40"/>
  </w:num>
  <w:num w:numId="32">
    <w:abstractNumId w:val="15"/>
  </w:num>
  <w:num w:numId="33">
    <w:abstractNumId w:val="24"/>
  </w:num>
  <w:num w:numId="34">
    <w:abstractNumId w:val="27"/>
  </w:num>
  <w:num w:numId="35">
    <w:abstractNumId w:val="42"/>
  </w:num>
  <w:num w:numId="36">
    <w:abstractNumId w:val="32"/>
  </w:num>
  <w:num w:numId="37">
    <w:abstractNumId w:val="17"/>
  </w:num>
  <w:num w:numId="38">
    <w:abstractNumId w:val="11"/>
  </w:num>
  <w:num w:numId="39">
    <w:abstractNumId w:val="31"/>
  </w:num>
  <w:num w:numId="40">
    <w:abstractNumId w:val="43"/>
  </w:num>
  <w:num w:numId="41">
    <w:abstractNumId w:val="34"/>
  </w:num>
  <w:num w:numId="42">
    <w:abstractNumId w:val="25"/>
  </w:num>
  <w:num w:numId="43">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D1"/>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DC0"/>
    <w:rsid w:val="00076F17"/>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CC"/>
    <w:rsid w:val="00094DEA"/>
    <w:rsid w:val="00094E39"/>
    <w:rsid w:val="00094E79"/>
    <w:rsid w:val="0009500E"/>
    <w:rsid w:val="0009537B"/>
    <w:rsid w:val="0009538E"/>
    <w:rsid w:val="000954CC"/>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C04"/>
    <w:rsid w:val="000C4D59"/>
    <w:rsid w:val="000C4DFF"/>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97E"/>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7BE"/>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6AE"/>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5F0E"/>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1B4"/>
    <w:rsid w:val="0010721A"/>
    <w:rsid w:val="001074AA"/>
    <w:rsid w:val="00107558"/>
    <w:rsid w:val="0010755A"/>
    <w:rsid w:val="0010779F"/>
    <w:rsid w:val="00107895"/>
    <w:rsid w:val="001078EC"/>
    <w:rsid w:val="0010794D"/>
    <w:rsid w:val="00107B52"/>
    <w:rsid w:val="00107CFF"/>
    <w:rsid w:val="00107D87"/>
    <w:rsid w:val="00107F15"/>
    <w:rsid w:val="001105FC"/>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DA9"/>
    <w:rsid w:val="00123E6B"/>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5F3E"/>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544"/>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76"/>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1E0"/>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334"/>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5"/>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70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2E1"/>
    <w:rsid w:val="001D0391"/>
    <w:rsid w:val="001D0406"/>
    <w:rsid w:val="001D046E"/>
    <w:rsid w:val="001D04F0"/>
    <w:rsid w:val="001D05E9"/>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6C1"/>
    <w:rsid w:val="001E571D"/>
    <w:rsid w:val="001E57B4"/>
    <w:rsid w:val="001E57FF"/>
    <w:rsid w:val="001E5A92"/>
    <w:rsid w:val="001E5BD0"/>
    <w:rsid w:val="001E5C5F"/>
    <w:rsid w:val="001E5CC6"/>
    <w:rsid w:val="001E5F03"/>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91C"/>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48"/>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183"/>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37"/>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7D2"/>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5FF"/>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356"/>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A4"/>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795"/>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18F"/>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D9"/>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142"/>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09"/>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B5"/>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1"/>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56D"/>
    <w:rsid w:val="00326604"/>
    <w:rsid w:val="003266BA"/>
    <w:rsid w:val="0032683D"/>
    <w:rsid w:val="003268DA"/>
    <w:rsid w:val="00326D44"/>
    <w:rsid w:val="00326DFA"/>
    <w:rsid w:val="00326EE0"/>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0B"/>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1AC"/>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D7B"/>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AA"/>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5EF"/>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8D8"/>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EFF"/>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0A"/>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0DE"/>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E3"/>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53"/>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D7"/>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445"/>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B19"/>
    <w:rsid w:val="00435D73"/>
    <w:rsid w:val="00435F4F"/>
    <w:rsid w:val="004360EC"/>
    <w:rsid w:val="00436493"/>
    <w:rsid w:val="004369E9"/>
    <w:rsid w:val="00436ADA"/>
    <w:rsid w:val="00436F56"/>
    <w:rsid w:val="004370D7"/>
    <w:rsid w:val="0043728D"/>
    <w:rsid w:val="00437305"/>
    <w:rsid w:val="004373B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F5"/>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865"/>
    <w:rsid w:val="004D6A54"/>
    <w:rsid w:val="004D6C37"/>
    <w:rsid w:val="004D6DA1"/>
    <w:rsid w:val="004D6F91"/>
    <w:rsid w:val="004D7013"/>
    <w:rsid w:val="004D7136"/>
    <w:rsid w:val="004D72DA"/>
    <w:rsid w:val="004D7395"/>
    <w:rsid w:val="004D73CA"/>
    <w:rsid w:val="004D7559"/>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A5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4FC"/>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E03"/>
    <w:rsid w:val="00520026"/>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10"/>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5E1"/>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5E"/>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18"/>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B5"/>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13"/>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37"/>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D6B"/>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38"/>
    <w:rsid w:val="005A1D78"/>
    <w:rsid w:val="005A1F62"/>
    <w:rsid w:val="005A210D"/>
    <w:rsid w:val="005A21C2"/>
    <w:rsid w:val="005A21FE"/>
    <w:rsid w:val="005A2506"/>
    <w:rsid w:val="005A26DC"/>
    <w:rsid w:val="005A2874"/>
    <w:rsid w:val="005A2A74"/>
    <w:rsid w:val="005A2F1E"/>
    <w:rsid w:val="005A2F5F"/>
    <w:rsid w:val="005A322D"/>
    <w:rsid w:val="005A3274"/>
    <w:rsid w:val="005A3594"/>
    <w:rsid w:val="005A35FB"/>
    <w:rsid w:val="005A3673"/>
    <w:rsid w:val="005A3779"/>
    <w:rsid w:val="005A3AAC"/>
    <w:rsid w:val="005A3AAE"/>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7E"/>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92C"/>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0FD"/>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45F"/>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BBD"/>
    <w:rsid w:val="00640F98"/>
    <w:rsid w:val="00640FFB"/>
    <w:rsid w:val="006410FC"/>
    <w:rsid w:val="0064159A"/>
    <w:rsid w:val="006416C6"/>
    <w:rsid w:val="00641767"/>
    <w:rsid w:val="006417F0"/>
    <w:rsid w:val="00641B46"/>
    <w:rsid w:val="00641C6C"/>
    <w:rsid w:val="00641C6D"/>
    <w:rsid w:val="00641CF6"/>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DC"/>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644"/>
    <w:rsid w:val="006536AC"/>
    <w:rsid w:val="006537FB"/>
    <w:rsid w:val="00653978"/>
    <w:rsid w:val="00653B4D"/>
    <w:rsid w:val="00653B7E"/>
    <w:rsid w:val="00653BA3"/>
    <w:rsid w:val="00654040"/>
    <w:rsid w:val="0065410C"/>
    <w:rsid w:val="006542E9"/>
    <w:rsid w:val="00654360"/>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C52"/>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2EC"/>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2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455"/>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EFD"/>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48"/>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A5"/>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CE5"/>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4A"/>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54E"/>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A2E"/>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5DD"/>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AEB"/>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B8B"/>
    <w:rsid w:val="00704C0A"/>
    <w:rsid w:val="0070504D"/>
    <w:rsid w:val="00705156"/>
    <w:rsid w:val="007057F1"/>
    <w:rsid w:val="00705843"/>
    <w:rsid w:val="007058A0"/>
    <w:rsid w:val="00705F36"/>
    <w:rsid w:val="00705F6A"/>
    <w:rsid w:val="00705FE9"/>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E4B"/>
    <w:rsid w:val="00735EB1"/>
    <w:rsid w:val="00735F0A"/>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DA0"/>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4"/>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6F"/>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D8"/>
    <w:rsid w:val="0077567B"/>
    <w:rsid w:val="007756FC"/>
    <w:rsid w:val="007759E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25"/>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581"/>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2F02"/>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E7F00"/>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556"/>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BCF"/>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3A7"/>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039"/>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33"/>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92E"/>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DE1"/>
    <w:rsid w:val="008A6E18"/>
    <w:rsid w:val="008A7080"/>
    <w:rsid w:val="008A709C"/>
    <w:rsid w:val="008A70ED"/>
    <w:rsid w:val="008A7198"/>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49"/>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EC1"/>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4B"/>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76"/>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8D"/>
    <w:rsid w:val="009039CB"/>
    <w:rsid w:val="00903C24"/>
    <w:rsid w:val="00903D66"/>
    <w:rsid w:val="009040F7"/>
    <w:rsid w:val="00904103"/>
    <w:rsid w:val="009041AD"/>
    <w:rsid w:val="009043F6"/>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5C3"/>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9E"/>
    <w:rsid w:val="00956ED9"/>
    <w:rsid w:val="00956F23"/>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399"/>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5C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1F66"/>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3F4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2D"/>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35"/>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5C2"/>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1FEB"/>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70"/>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47A"/>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0FA"/>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A89"/>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3E7"/>
    <w:rsid w:val="00A914E9"/>
    <w:rsid w:val="00A91543"/>
    <w:rsid w:val="00A915DB"/>
    <w:rsid w:val="00A9165D"/>
    <w:rsid w:val="00A91743"/>
    <w:rsid w:val="00A91767"/>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408"/>
    <w:rsid w:val="00A934E3"/>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AA"/>
    <w:rsid w:val="00AB6FF4"/>
    <w:rsid w:val="00AB6FF7"/>
    <w:rsid w:val="00AB7073"/>
    <w:rsid w:val="00AB7166"/>
    <w:rsid w:val="00AB732F"/>
    <w:rsid w:val="00AB7718"/>
    <w:rsid w:val="00AB7771"/>
    <w:rsid w:val="00AB779B"/>
    <w:rsid w:val="00AB77BB"/>
    <w:rsid w:val="00AB77E9"/>
    <w:rsid w:val="00AB7DB1"/>
    <w:rsid w:val="00AB7E34"/>
    <w:rsid w:val="00AC0001"/>
    <w:rsid w:val="00AC0081"/>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150"/>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ACA"/>
    <w:rsid w:val="00AF6B7A"/>
    <w:rsid w:val="00AF6E9C"/>
    <w:rsid w:val="00AF7577"/>
    <w:rsid w:val="00AF75DB"/>
    <w:rsid w:val="00AF766C"/>
    <w:rsid w:val="00AF7930"/>
    <w:rsid w:val="00AF795A"/>
    <w:rsid w:val="00AF7C1E"/>
    <w:rsid w:val="00AF7DEF"/>
    <w:rsid w:val="00AF7E49"/>
    <w:rsid w:val="00AF7FE1"/>
    <w:rsid w:val="00B0021E"/>
    <w:rsid w:val="00B0050A"/>
    <w:rsid w:val="00B006A0"/>
    <w:rsid w:val="00B006E4"/>
    <w:rsid w:val="00B0087A"/>
    <w:rsid w:val="00B00967"/>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75"/>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8E3"/>
    <w:rsid w:val="00B23971"/>
    <w:rsid w:val="00B23A1C"/>
    <w:rsid w:val="00B23AD8"/>
    <w:rsid w:val="00B23B8C"/>
    <w:rsid w:val="00B23C88"/>
    <w:rsid w:val="00B23D72"/>
    <w:rsid w:val="00B23D75"/>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D0D"/>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50"/>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4CC"/>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11"/>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02"/>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0A1"/>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694"/>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2"/>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2C2"/>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31F"/>
    <w:rsid w:val="00BE540C"/>
    <w:rsid w:val="00BE5575"/>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63B"/>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7D"/>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EF6"/>
    <w:rsid w:val="00BF5F92"/>
    <w:rsid w:val="00BF61E0"/>
    <w:rsid w:val="00BF621D"/>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E11"/>
    <w:rsid w:val="00C12F27"/>
    <w:rsid w:val="00C12FC3"/>
    <w:rsid w:val="00C135B8"/>
    <w:rsid w:val="00C13706"/>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C2C"/>
    <w:rsid w:val="00C14DF4"/>
    <w:rsid w:val="00C15058"/>
    <w:rsid w:val="00C151F4"/>
    <w:rsid w:val="00C15282"/>
    <w:rsid w:val="00C15307"/>
    <w:rsid w:val="00C1573C"/>
    <w:rsid w:val="00C15797"/>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8A"/>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37FB5"/>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3DF"/>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D2E"/>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2CB"/>
    <w:rsid w:val="00C66353"/>
    <w:rsid w:val="00C663DD"/>
    <w:rsid w:val="00C6654B"/>
    <w:rsid w:val="00C66867"/>
    <w:rsid w:val="00C66AB7"/>
    <w:rsid w:val="00C66D87"/>
    <w:rsid w:val="00C66DE2"/>
    <w:rsid w:val="00C66DF5"/>
    <w:rsid w:val="00C6703D"/>
    <w:rsid w:val="00C6716B"/>
    <w:rsid w:val="00C671C7"/>
    <w:rsid w:val="00C67214"/>
    <w:rsid w:val="00C67282"/>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BB1"/>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0BC"/>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0A"/>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7E3"/>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225"/>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71"/>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D"/>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4C4"/>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33"/>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4A3"/>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072"/>
    <w:rsid w:val="00D4713D"/>
    <w:rsid w:val="00D4728A"/>
    <w:rsid w:val="00D473A9"/>
    <w:rsid w:val="00D47674"/>
    <w:rsid w:val="00D47B9A"/>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CE"/>
    <w:rsid w:val="00D6374F"/>
    <w:rsid w:val="00D639B7"/>
    <w:rsid w:val="00D63C73"/>
    <w:rsid w:val="00D63CE0"/>
    <w:rsid w:val="00D6423A"/>
    <w:rsid w:val="00D642C3"/>
    <w:rsid w:val="00D647DB"/>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4A"/>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1E"/>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021"/>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A49"/>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0B5"/>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287"/>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3C"/>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47"/>
    <w:rsid w:val="00DF18B1"/>
    <w:rsid w:val="00DF18BE"/>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8C1"/>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37D"/>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30"/>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CB7"/>
    <w:rsid w:val="00E33E15"/>
    <w:rsid w:val="00E33E39"/>
    <w:rsid w:val="00E33E6E"/>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6EB4"/>
    <w:rsid w:val="00E37258"/>
    <w:rsid w:val="00E373F9"/>
    <w:rsid w:val="00E374B0"/>
    <w:rsid w:val="00E374D7"/>
    <w:rsid w:val="00E375D8"/>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9D1"/>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4FD4"/>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8BC"/>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142"/>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AE"/>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17"/>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B9C"/>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DC7"/>
    <w:rsid w:val="00ED4EBA"/>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9D2"/>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D2E"/>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1F7"/>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9AC"/>
    <w:rsid w:val="00F44BE5"/>
    <w:rsid w:val="00F44C59"/>
    <w:rsid w:val="00F44CB6"/>
    <w:rsid w:val="00F44CCC"/>
    <w:rsid w:val="00F44F32"/>
    <w:rsid w:val="00F45046"/>
    <w:rsid w:val="00F450B8"/>
    <w:rsid w:val="00F45146"/>
    <w:rsid w:val="00F45171"/>
    <w:rsid w:val="00F4561F"/>
    <w:rsid w:val="00F45674"/>
    <w:rsid w:val="00F45757"/>
    <w:rsid w:val="00F45934"/>
    <w:rsid w:val="00F45CF6"/>
    <w:rsid w:val="00F45CFE"/>
    <w:rsid w:val="00F45D9D"/>
    <w:rsid w:val="00F45EB9"/>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45A"/>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66"/>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534"/>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406"/>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5F9"/>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73C"/>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8B1"/>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0"/>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5E"/>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ead3"/>
    <w:qFormat/>
    <w:rsid w:val="00A93408"/>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A93408"/>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ST Table,Check(v),Table-Text,x Tableau page de garde"/>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qFormat/>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굴림체" w:eastAsia="굴림체" w:hAnsi="굴림체" w:cs="굴림체"/>
      <w:sz w:val="24"/>
      <w:szCs w:val="24"/>
    </w:rPr>
  </w:style>
  <w:style w:type="paragraph" w:customStyle="1" w:styleId="References">
    <w:name w:val="References"/>
    <w:basedOn w:val="a"/>
    <w:qFormat/>
    <w:rsid w:val="0024329E"/>
    <w:pPr>
      <w:numPr>
        <w:ilvl w:val="2"/>
        <w:numId w:val="28"/>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efault">
    <w:name w:val="Default"/>
    <w:rsid w:val="006B6CE5"/>
    <w:pPr>
      <w:widowControl w:val="0"/>
      <w:autoSpaceDE w:val="0"/>
      <w:autoSpaceDN w:val="0"/>
      <w:adjustRightInd w:val="0"/>
    </w:pPr>
    <w:rPr>
      <w:rFonts w:ascii="Arial" w:hAnsi="Arial" w:cs="Arial"/>
      <w:color w:val="000000"/>
      <w:sz w:val="24"/>
      <w:szCs w:val="24"/>
    </w:rPr>
  </w:style>
  <w:style w:type="paragraph" w:customStyle="1" w:styleId="DocumentTitle">
    <w:name w:val="DocumentTitle"/>
    <w:basedOn w:val="a"/>
    <w:qFormat/>
    <w:rsid w:val="00A93408"/>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A93408"/>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A93408"/>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A93408"/>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A93408"/>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A93408"/>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A93408"/>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A93408"/>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A93408"/>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A93408"/>
    <w:pPr>
      <w:spacing w:after="160" w:line="259" w:lineRule="auto"/>
      <w:jc w:val="center"/>
    </w:pPr>
    <w:rPr>
      <w:rFonts w:ascii="Calibri" w:eastAsiaTheme="minorEastAsia" w:hAnsi="Calibri" w:cstheme="minorBidi"/>
      <w:sz w:val="24"/>
      <w:szCs w:val="22"/>
    </w:rPr>
  </w:style>
  <w:style w:type="paragraph" w:customStyle="1" w:styleId="Head5">
    <w:name w:val="Head5"/>
    <w:qFormat/>
    <w:rsid w:val="00A93408"/>
    <w:pPr>
      <w:spacing w:after="160" w:line="259" w:lineRule="auto"/>
    </w:pPr>
    <w:rPr>
      <w:rFonts w:ascii="Calibri" w:eastAsiaTheme="minorEastAsia" w:hAnsi="Calibri" w:cstheme="minorBidi"/>
      <w:sz w:val="24"/>
      <w:szCs w:val="22"/>
    </w:rPr>
  </w:style>
  <w:style w:type="paragraph" w:customStyle="1" w:styleId="Head6">
    <w:name w:val="Head6"/>
    <w:qFormat/>
    <w:rsid w:val="00A93408"/>
    <w:pPr>
      <w:spacing w:after="160" w:line="259" w:lineRule="auto"/>
    </w:pPr>
    <w:rPr>
      <w:rFonts w:ascii="Calibri" w:eastAsiaTheme="minorEastAsia" w:hAnsi="Calibri" w:cstheme="minorBidi"/>
      <w:sz w:val="24"/>
      <w:szCs w:val="22"/>
    </w:rPr>
  </w:style>
  <w:style w:type="paragraph" w:customStyle="1" w:styleId="TextPara">
    <w:name w:val="TextPara"/>
    <w:qFormat/>
    <w:rsid w:val="00A93408"/>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A93408"/>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A93408"/>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A93408"/>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A93408"/>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A93408"/>
  </w:style>
  <w:style w:type="paragraph" w:customStyle="1" w:styleId="Quotation">
    <w:name w:val="Quotation"/>
    <w:basedOn w:val="a"/>
    <w:qFormat/>
    <w:rsid w:val="00A93408"/>
    <w:pPr>
      <w:pBdr>
        <w:left w:val="single" w:sz="24" w:space="4" w:color="auto"/>
      </w:pBdr>
      <w:spacing w:after="160" w:line="259" w:lineRule="auto"/>
      <w:ind w:left="864" w:right="864"/>
      <w:jc w:val="both"/>
    </w:pPr>
    <w:rPr>
      <w:rFonts w:ascii="Calibri" w:eastAsiaTheme="minorHAnsi" w:hAnsi="Calibr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FB70A9-8DC9-4B76-A367-ED0DE0B36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F74BF1-8FCE-4EE0-B351-01F34F17C126}">
  <ds:schemaRefs>
    <ds:schemaRef ds:uri="http://schemas.openxmlformats.org/officeDocument/2006/bibliography"/>
  </ds:schemaRefs>
</ds:datastoreItem>
</file>

<file path=customXml/itemProps3.xml><?xml version="1.0" encoding="utf-8"?>
<ds:datastoreItem xmlns:ds="http://schemas.openxmlformats.org/officeDocument/2006/customXml" ds:itemID="{F29FD74C-07C0-460D-B79A-50EAA55CB4DD}">
  <ds:schemaRefs>
    <ds:schemaRef ds:uri="http://www.w3.org/XML/1998/namespace"/>
    <ds:schemaRef ds:uri="http://schemas.openxmlformats.org/package/2006/metadata/core-properties"/>
    <ds:schemaRef ds:uri="55d36f91-0ffc-4d12-9c3d-f61dee0a0436"/>
    <ds:schemaRef ds:uri="http://schemas.microsoft.com/office/2006/documentManagement/types"/>
    <ds:schemaRef ds:uri="http://purl.org/dc/terms/"/>
    <ds:schemaRef ds:uri="http://schemas.microsoft.com/office/infopath/2007/PartnerControls"/>
    <ds:schemaRef ds:uri="http://schemas.microsoft.com/office/2006/metadata/properties"/>
    <ds:schemaRef ds:uri="http://purl.org/dc/dcmitype/"/>
    <ds:schemaRef ds:uri="http://purl.org/dc/elements/1.1/"/>
  </ds:schemaRefs>
</ds:datastoreItem>
</file>

<file path=customXml/itemProps4.xml><?xml version="1.0" encoding="utf-8"?>
<ds:datastoreItem xmlns:ds="http://schemas.openxmlformats.org/officeDocument/2006/customXml" ds:itemID="{B25A2E3A-0644-4B19-B453-14A6819240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661</Words>
  <Characters>3965</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63</cp:revision>
  <cp:lastPrinted>2015-10-31T09:51:00Z</cp:lastPrinted>
  <dcterms:created xsi:type="dcterms:W3CDTF">2025-11-04T04:26:00Z</dcterms:created>
  <dcterms:modified xsi:type="dcterms:W3CDTF">2026-01-29T00:40:00Z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D870A25A24F9132ED585C1FAE116AD42566F91C61D9751FC661DEE0A5160ABB3811D1F0A735AE23C6DF2AD4505F2CAE677006EC4808E4CD8C9CC1AB481AA0777</vt:lpwstr>
  </property>
  <property fmtid="{D5CDD505-2E9C-101B-9397-08002B2CF9AE}" pid="4" name="DocumentId">
    <vt:lpwstr/>
  </property>
  <property fmtid="{D5CDD505-2E9C-101B-9397-08002B2CF9AE}" pid="5" name="ContentTypeId">
    <vt:lpwstr>0x0101003F18BD4427B20040B5E61800580951F0</vt:lpwstr>
  </property>
</Properties>
</file>